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heme="majorEastAsia" w:hAnsiTheme="majorEastAsia" w:eastAsiaTheme="majorEastAsia"/>
          <w:b/>
          <w:sz w:val="32"/>
          <w:szCs w:val="32"/>
        </w:rPr>
      </w:pPr>
      <w:r>
        <w:rPr>
          <w:rFonts w:hint="eastAsia" w:asciiTheme="majorEastAsia" w:hAnsiTheme="majorEastAsia" w:eastAsiaTheme="majorEastAsia"/>
          <w:b/>
          <w:sz w:val="32"/>
          <w:szCs w:val="32"/>
        </w:rPr>
        <w:t>《耐腐耐磨离心式渣浆泵技术条件》编制说明</w:t>
      </w:r>
    </w:p>
    <w:p>
      <w:pPr>
        <w:spacing w:line="360" w:lineRule="auto"/>
        <w:jc w:val="center"/>
        <w:rPr>
          <w:rFonts w:asciiTheme="majorEastAsia" w:hAnsiTheme="majorEastAsia" w:eastAsiaTheme="majorEastAsia"/>
          <w:b/>
          <w:sz w:val="28"/>
          <w:szCs w:val="28"/>
        </w:rPr>
      </w:pPr>
      <w:r>
        <w:rPr>
          <w:rFonts w:hint="eastAsia" w:asciiTheme="majorEastAsia" w:hAnsiTheme="majorEastAsia" w:eastAsiaTheme="majorEastAsia"/>
          <w:b/>
          <w:sz w:val="28"/>
          <w:szCs w:val="28"/>
        </w:rPr>
        <w:t>（征求意见稿）</w:t>
      </w:r>
    </w:p>
    <w:p>
      <w:pPr>
        <w:spacing w:line="360" w:lineRule="auto"/>
        <w:ind w:firstLine="482" w:firstLineChars="200"/>
        <w:rPr>
          <w:rFonts w:asciiTheme="minorEastAsia" w:hAnsiTheme="minorEastAsia"/>
          <w:b/>
          <w:sz w:val="24"/>
          <w:szCs w:val="24"/>
        </w:rPr>
      </w:pPr>
      <w:r>
        <w:rPr>
          <w:rFonts w:hint="eastAsia" w:asciiTheme="minorEastAsia" w:hAnsiTheme="minorEastAsia"/>
          <w:b/>
          <w:sz w:val="24"/>
          <w:szCs w:val="24"/>
        </w:rPr>
        <w:t>一、工作简况</w:t>
      </w:r>
    </w:p>
    <w:p>
      <w:pPr>
        <w:spacing w:line="360" w:lineRule="auto"/>
        <w:ind w:firstLine="482" w:firstLineChars="200"/>
        <w:rPr>
          <w:rFonts w:asciiTheme="minorEastAsia" w:hAnsiTheme="minorEastAsia"/>
          <w:b/>
          <w:sz w:val="24"/>
          <w:szCs w:val="24"/>
        </w:rPr>
      </w:pPr>
      <w:r>
        <w:rPr>
          <w:rFonts w:hint="eastAsia" w:asciiTheme="minorEastAsia" w:hAnsiTheme="minorEastAsia"/>
          <w:b/>
          <w:sz w:val="24"/>
          <w:szCs w:val="24"/>
        </w:rPr>
        <w:t>1.任务来源</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本标准的制订依据为中通协泵业分会团体标准工作委员会标准制修订工作计划。项目名称为“耐腐耐磨离心式渣浆泵技术条件”，主要起草单位为襄阳五二五泵业有限公司，计划完成日期为2023年。</w:t>
      </w:r>
    </w:p>
    <w:p>
      <w:pPr>
        <w:spacing w:line="360" w:lineRule="auto"/>
        <w:ind w:firstLine="482" w:firstLineChars="200"/>
        <w:rPr>
          <w:rFonts w:asciiTheme="minorEastAsia" w:hAnsiTheme="minorEastAsia"/>
          <w:b/>
          <w:sz w:val="24"/>
          <w:szCs w:val="24"/>
        </w:rPr>
      </w:pPr>
      <w:r>
        <w:rPr>
          <w:rFonts w:hint="eastAsia" w:asciiTheme="minorEastAsia" w:hAnsiTheme="minorEastAsia"/>
          <w:b/>
          <w:sz w:val="24"/>
          <w:szCs w:val="24"/>
        </w:rPr>
        <w:t>2.主要工作过程</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标准编写组负责对国内外有关渣浆泵现状的调研工作，了解并收集国内外著名泵企业的渣浆泵设计结构、性能参数、使用维护、选用方法、浆体性质等相关技术资料及相关领域的国、内外标准研究和修订情况。</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标准编写组对收集的相关资料及数据进行了分析审核，对部分通过实验推导的数据进行了实验模拟。最后在广泛征求各方专家的意见和建议后，形成标准草案。</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2022年3月30日通过中国通用机械工业协会标准化管理委员会立项审查。</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标准编写组多次组织产品研发、材料研发、生产工艺等专家对标准草案进行评审，反复修改完善，形成了标准征求意见稿。确定标准的名称为:耐腐耐磨离心式渣浆泵技术条件；标准的主要内容包括:技术要求、试验方法和检验规则、成套范围和保证期、标志、包装、运输和贮存等；标准的使用者是制造商、用户和独立的第三方机构；标准的编写目的是保证产品的适用性。</w:t>
      </w:r>
    </w:p>
    <w:p>
      <w:pPr>
        <w:spacing w:line="360" w:lineRule="auto"/>
        <w:ind w:firstLine="480" w:firstLineChars="200"/>
        <w:rPr>
          <w:rFonts w:hint="eastAsia" w:asciiTheme="minorEastAsia" w:hAnsiTheme="minorEastAsia"/>
          <w:sz w:val="24"/>
          <w:szCs w:val="24"/>
        </w:rPr>
      </w:pPr>
      <w:r>
        <w:rPr>
          <w:rFonts w:hint="eastAsia" w:asciiTheme="minorEastAsia" w:hAnsiTheme="minorEastAsia"/>
          <w:sz w:val="24"/>
          <w:szCs w:val="24"/>
        </w:rPr>
        <w:t>具体的标准结构内容见标准的征求意见稿。</w:t>
      </w:r>
    </w:p>
    <w:p>
      <w:pPr>
        <w:spacing w:line="360" w:lineRule="auto"/>
        <w:rPr>
          <w:rFonts w:hint="eastAsia" w:ascii="宋体" w:hAnsi="宋体"/>
          <w:b/>
          <w:color w:val="000000"/>
          <w:sz w:val="24"/>
        </w:rPr>
      </w:pPr>
      <w:r>
        <w:rPr>
          <w:rFonts w:hint="eastAsia" w:ascii="宋体" w:hAnsi="宋体"/>
          <w:b/>
          <w:color w:val="000000"/>
          <w:sz w:val="24"/>
        </w:rPr>
        <w:t>3．主要参加单位和工作组成员及其所做的工作等</w:t>
      </w:r>
    </w:p>
    <w:p>
      <w:pPr>
        <w:spacing w:line="360" w:lineRule="auto"/>
        <w:ind w:firstLine="480" w:firstLineChars="200"/>
        <w:rPr>
          <w:rFonts w:hint="eastAsia" w:ascii="宋体" w:hAnsi="宋体" w:eastAsiaTheme="minorEastAsia"/>
          <w:color w:val="000000"/>
          <w:sz w:val="24"/>
          <w:lang w:val="en-US" w:eastAsia="zh-CN"/>
        </w:rPr>
      </w:pPr>
      <w:r>
        <w:rPr>
          <w:rFonts w:hint="eastAsia" w:ascii="宋体" w:hAnsi="宋体"/>
          <w:color w:val="000000"/>
          <w:sz w:val="24"/>
        </w:rPr>
        <w:t>本标准制订工作组其他成员如下：襄阳五二五泵业有限公司</w:t>
      </w:r>
      <w:r>
        <w:rPr>
          <w:rFonts w:hint="eastAsia" w:ascii="宋体" w:hAnsi="宋体"/>
          <w:color w:val="000000"/>
          <w:sz w:val="24"/>
          <w:lang w:eastAsia="zh-CN"/>
        </w:rPr>
        <w:t>、石家庄工业泵厂有限公司、三联泵业股份有限公司等单位。</w:t>
      </w:r>
    </w:p>
    <w:p>
      <w:pPr>
        <w:spacing w:line="360" w:lineRule="auto"/>
        <w:ind w:firstLine="480" w:firstLineChars="200"/>
        <w:rPr>
          <w:rFonts w:ascii="宋体" w:hAnsi="宋体"/>
          <w:color w:val="000000"/>
          <w:sz w:val="24"/>
        </w:rPr>
      </w:pPr>
      <w:r>
        <w:rPr>
          <w:rFonts w:hint="eastAsia" w:ascii="宋体" w:hAnsi="宋体"/>
          <w:color w:val="000000"/>
          <w:sz w:val="24"/>
        </w:rPr>
        <w:t>本标准制订草案和征求意见稿及附件由</w:t>
      </w:r>
      <w:r>
        <w:rPr>
          <w:rFonts w:hint="eastAsia" w:asciiTheme="minorEastAsia" w:hAnsiTheme="minorEastAsia"/>
          <w:sz w:val="24"/>
          <w:szCs w:val="24"/>
        </w:rPr>
        <w:t>襄阳五二五泵业有限公司</w:t>
      </w:r>
      <w:r>
        <w:rPr>
          <w:rFonts w:hint="eastAsia" w:ascii="宋体" w:hAnsi="宋体"/>
          <w:color w:val="000000"/>
          <w:sz w:val="24"/>
        </w:rPr>
        <w:t>起草。标准征求意见的处理、征求意见汇总处理表及送审稿草案由标准起草工作组共同完成。</w:t>
      </w:r>
    </w:p>
    <w:p>
      <w:pPr>
        <w:spacing w:line="360" w:lineRule="auto"/>
        <w:ind w:firstLine="482" w:firstLineChars="200"/>
        <w:rPr>
          <w:rFonts w:asciiTheme="minorEastAsia" w:hAnsiTheme="minorEastAsia"/>
          <w:b/>
          <w:sz w:val="24"/>
          <w:szCs w:val="24"/>
        </w:rPr>
      </w:pPr>
      <w:r>
        <w:rPr>
          <w:rFonts w:hint="eastAsia" w:asciiTheme="minorEastAsia" w:hAnsiTheme="minorEastAsia"/>
          <w:b/>
          <w:sz w:val="24"/>
          <w:szCs w:val="24"/>
        </w:rPr>
        <w:t>二、标准编制原则和主要内容</w:t>
      </w:r>
    </w:p>
    <w:p>
      <w:pPr>
        <w:spacing w:line="360" w:lineRule="auto"/>
        <w:ind w:firstLine="482" w:firstLineChars="200"/>
        <w:rPr>
          <w:rFonts w:asciiTheme="minorEastAsia" w:hAnsiTheme="minorEastAsia"/>
          <w:b/>
          <w:sz w:val="24"/>
          <w:szCs w:val="24"/>
        </w:rPr>
      </w:pPr>
      <w:r>
        <w:rPr>
          <w:rFonts w:hint="eastAsia" w:asciiTheme="minorEastAsia" w:hAnsiTheme="minorEastAsia"/>
          <w:b/>
          <w:sz w:val="24"/>
          <w:szCs w:val="24"/>
        </w:rPr>
        <w:t>1.标准适用范围</w:t>
      </w:r>
      <w:bookmarkStart w:id="0" w:name="_GoBack"/>
      <w:bookmarkEnd w:id="0"/>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本标准规定了离心式渣浆泵的术语与定义、型式与分类、输送浆体的性质、基本设计、特定泵型设计、材料、检验和试验方法等。</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本标准适用于输送具有腐蚀性或（和）磨蚀性的固液混合体的单级、单吸的卧式和立式工业型离心泵。</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本标准紧跟当前渣浆泵行业的发展，对离心式渣浆泵型式进行了分类，涵盖了当前大部分渣浆泵产品结构，并对特定泵型的技术要求进行了规定，以指导产品的设计及应用，同时对当前主要应用材料及新型材料进行了相关介绍和应用指导，另外用较大篇幅在浆体的应用及计算方面进行了详细的描述，这些内容对用户、制造厂、设计单位都有较为实际的参考作用。</w:t>
      </w:r>
    </w:p>
    <w:p>
      <w:pPr>
        <w:spacing w:line="360" w:lineRule="auto"/>
        <w:ind w:firstLine="482" w:firstLineChars="200"/>
        <w:rPr>
          <w:rFonts w:asciiTheme="minorEastAsia" w:hAnsiTheme="minorEastAsia"/>
          <w:b/>
          <w:sz w:val="24"/>
          <w:szCs w:val="24"/>
        </w:rPr>
      </w:pPr>
      <w:r>
        <w:rPr>
          <w:rFonts w:hint="eastAsia" w:asciiTheme="minorEastAsia" w:hAnsiTheme="minorEastAsia"/>
          <w:b/>
          <w:sz w:val="24"/>
          <w:szCs w:val="24"/>
        </w:rPr>
        <w:t>2.标准编制原则</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标准制定工作遵循“面向市场、服务产业、自主制定、适时推出、及时修订、不断完善”的原则，结合了国内外渣浆泵制造企业的技术指标并参考国内相关标准的基础上进行编制，使标准具有先进性、适用性、普遍性。</w:t>
      </w:r>
    </w:p>
    <w:p>
      <w:pPr>
        <w:spacing w:line="360" w:lineRule="auto"/>
        <w:ind w:firstLine="482" w:firstLineChars="200"/>
        <w:rPr>
          <w:rFonts w:asciiTheme="minorEastAsia" w:hAnsiTheme="minorEastAsia"/>
          <w:b/>
          <w:sz w:val="24"/>
          <w:szCs w:val="24"/>
        </w:rPr>
      </w:pPr>
      <w:r>
        <w:rPr>
          <w:rFonts w:hint="eastAsia" w:asciiTheme="minorEastAsia" w:hAnsiTheme="minorEastAsia"/>
          <w:b/>
          <w:sz w:val="24"/>
          <w:szCs w:val="24"/>
        </w:rPr>
        <w:t>3.标准主要内容</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本标准规定了耐腐耐磨离心式渣浆泵技术要求、试验方法和检验规则、成套范围和保证期、标志、包装、运输和贮存等；</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本标准共9章，7个附录。</w:t>
      </w:r>
    </w:p>
    <w:p>
      <w:pPr>
        <w:spacing w:line="360" w:lineRule="auto"/>
        <w:ind w:firstLine="482" w:firstLineChars="200"/>
        <w:rPr>
          <w:rFonts w:asciiTheme="minorEastAsia" w:hAnsiTheme="minorEastAsia"/>
          <w:b/>
          <w:sz w:val="24"/>
          <w:szCs w:val="24"/>
        </w:rPr>
      </w:pPr>
      <w:r>
        <w:rPr>
          <w:rFonts w:hint="eastAsia" w:asciiTheme="minorEastAsia" w:hAnsiTheme="minorEastAsia"/>
          <w:b/>
          <w:sz w:val="24"/>
          <w:szCs w:val="24"/>
        </w:rPr>
        <w:t>三、主要试验（或验证）情况分析</w:t>
      </w:r>
    </w:p>
    <w:p>
      <w:pPr>
        <w:spacing w:afterLines="100" w:line="360" w:lineRule="auto"/>
        <w:ind w:firstLine="482" w:firstLineChars="200"/>
        <w:rPr>
          <w:rFonts w:asciiTheme="minorEastAsia" w:hAnsiTheme="minorEastAsia"/>
          <w:b/>
          <w:sz w:val="24"/>
          <w:szCs w:val="24"/>
        </w:rPr>
      </w:pPr>
      <w:r>
        <w:rPr>
          <w:rFonts w:hint="eastAsia" w:asciiTheme="minorEastAsia" w:hAnsiTheme="minorEastAsia"/>
          <w:b/>
          <w:sz w:val="24"/>
          <w:szCs w:val="24"/>
        </w:rPr>
        <w:t>1.标准所涉及的主要离心式渣浆泵产品型式</w:t>
      </w:r>
    </w:p>
    <w:tbl>
      <w:tblPr>
        <w:tblStyle w:val="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90"/>
        <w:gridCol w:w="1100"/>
        <w:gridCol w:w="1101"/>
        <w:gridCol w:w="12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7" w:hRule="atLeast"/>
          <w:jc w:val="center"/>
        </w:trPr>
        <w:tc>
          <w:tcPr>
            <w:tcW w:w="2991" w:type="dxa"/>
            <w:gridSpan w:val="3"/>
            <w:vAlign w:val="center"/>
          </w:tcPr>
          <w:p>
            <w:pPr>
              <w:pStyle w:val="8"/>
              <w:ind w:firstLine="0" w:firstLineChars="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泵的型式</w:t>
            </w:r>
          </w:p>
        </w:tc>
        <w:tc>
          <w:tcPr>
            <w:tcW w:w="1293" w:type="dxa"/>
            <w:vAlign w:val="center"/>
          </w:tcPr>
          <w:p>
            <w:pPr>
              <w:pStyle w:val="8"/>
              <w:ind w:firstLine="0" w:firstLineChars="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过流件材质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90" w:type="dxa"/>
            <w:vMerge w:val="restart"/>
            <w:vAlign w:val="center"/>
          </w:tcPr>
          <w:p>
            <w:pPr>
              <w:pStyle w:val="8"/>
              <w:ind w:firstLine="0" w:firstLineChars="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离心式</w:t>
            </w:r>
          </w:p>
        </w:tc>
        <w:tc>
          <w:tcPr>
            <w:tcW w:w="1100" w:type="dxa"/>
            <w:vMerge w:val="restart"/>
            <w:vAlign w:val="center"/>
          </w:tcPr>
          <w:p>
            <w:pPr>
              <w:pStyle w:val="8"/>
              <w:ind w:firstLine="0" w:firstLineChars="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卧式</w:t>
            </w:r>
          </w:p>
          <w:p>
            <w:pPr>
              <w:pStyle w:val="8"/>
              <w:ind w:firstLine="360"/>
              <w:jc w:val="center"/>
              <w:rPr>
                <w:rFonts w:asciiTheme="minorEastAsia" w:hAnsiTheme="minorEastAsia" w:eastAsiaTheme="minorEastAsia"/>
                <w:sz w:val="18"/>
                <w:szCs w:val="18"/>
              </w:rPr>
            </w:pPr>
          </w:p>
        </w:tc>
        <w:tc>
          <w:tcPr>
            <w:tcW w:w="1101" w:type="dxa"/>
            <w:vMerge w:val="restart"/>
            <w:vAlign w:val="center"/>
          </w:tcPr>
          <w:p>
            <w:pPr>
              <w:pStyle w:val="8"/>
              <w:ind w:firstLine="0" w:firstLineChars="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双壳体</w:t>
            </w:r>
          </w:p>
        </w:tc>
        <w:tc>
          <w:tcPr>
            <w:tcW w:w="1293" w:type="dxa"/>
            <w:vAlign w:val="center"/>
          </w:tcPr>
          <w:p>
            <w:pPr>
              <w:pStyle w:val="8"/>
              <w:ind w:firstLine="0" w:firstLineChars="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金属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90" w:type="dxa"/>
            <w:vMerge w:val="continue"/>
            <w:vAlign w:val="center"/>
          </w:tcPr>
          <w:p>
            <w:pPr>
              <w:pStyle w:val="8"/>
              <w:ind w:firstLine="0" w:firstLineChars="0"/>
              <w:jc w:val="center"/>
              <w:rPr>
                <w:rFonts w:asciiTheme="minorEastAsia" w:hAnsiTheme="minorEastAsia" w:eastAsiaTheme="minorEastAsia"/>
                <w:sz w:val="18"/>
                <w:szCs w:val="18"/>
              </w:rPr>
            </w:pPr>
          </w:p>
        </w:tc>
        <w:tc>
          <w:tcPr>
            <w:tcW w:w="1100" w:type="dxa"/>
            <w:vMerge w:val="continue"/>
            <w:vAlign w:val="center"/>
          </w:tcPr>
          <w:p>
            <w:pPr>
              <w:pStyle w:val="8"/>
              <w:ind w:firstLine="360"/>
              <w:jc w:val="center"/>
              <w:rPr>
                <w:rFonts w:asciiTheme="minorEastAsia" w:hAnsiTheme="minorEastAsia" w:eastAsiaTheme="minorEastAsia"/>
                <w:sz w:val="18"/>
                <w:szCs w:val="18"/>
              </w:rPr>
            </w:pPr>
          </w:p>
        </w:tc>
        <w:tc>
          <w:tcPr>
            <w:tcW w:w="1101" w:type="dxa"/>
            <w:vMerge w:val="continue"/>
            <w:vAlign w:val="center"/>
          </w:tcPr>
          <w:p>
            <w:pPr>
              <w:pStyle w:val="8"/>
              <w:ind w:firstLine="0" w:firstLineChars="0"/>
              <w:jc w:val="center"/>
              <w:rPr>
                <w:rFonts w:asciiTheme="minorEastAsia" w:hAnsiTheme="minorEastAsia" w:eastAsiaTheme="minorEastAsia"/>
                <w:sz w:val="18"/>
                <w:szCs w:val="18"/>
              </w:rPr>
            </w:pPr>
          </w:p>
        </w:tc>
        <w:tc>
          <w:tcPr>
            <w:tcW w:w="1293" w:type="dxa"/>
            <w:vAlign w:val="center"/>
          </w:tcPr>
          <w:p>
            <w:pPr>
              <w:pStyle w:val="8"/>
              <w:ind w:firstLine="0" w:firstLineChars="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弹性体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90" w:type="dxa"/>
            <w:vMerge w:val="continue"/>
            <w:vAlign w:val="center"/>
          </w:tcPr>
          <w:p>
            <w:pPr>
              <w:pStyle w:val="8"/>
              <w:ind w:firstLine="0" w:firstLineChars="0"/>
              <w:jc w:val="center"/>
              <w:rPr>
                <w:rFonts w:asciiTheme="minorEastAsia" w:hAnsiTheme="minorEastAsia" w:eastAsiaTheme="minorEastAsia"/>
                <w:sz w:val="18"/>
                <w:szCs w:val="18"/>
              </w:rPr>
            </w:pPr>
          </w:p>
        </w:tc>
        <w:tc>
          <w:tcPr>
            <w:tcW w:w="1100" w:type="dxa"/>
            <w:vMerge w:val="continue"/>
            <w:vAlign w:val="center"/>
          </w:tcPr>
          <w:p>
            <w:pPr>
              <w:pStyle w:val="8"/>
              <w:ind w:firstLine="360"/>
              <w:jc w:val="center"/>
              <w:rPr>
                <w:rFonts w:asciiTheme="minorEastAsia" w:hAnsiTheme="minorEastAsia" w:eastAsiaTheme="minorEastAsia"/>
                <w:sz w:val="18"/>
                <w:szCs w:val="18"/>
              </w:rPr>
            </w:pPr>
          </w:p>
        </w:tc>
        <w:tc>
          <w:tcPr>
            <w:tcW w:w="1101" w:type="dxa"/>
            <w:vMerge w:val="continue"/>
            <w:vAlign w:val="center"/>
          </w:tcPr>
          <w:p>
            <w:pPr>
              <w:pStyle w:val="8"/>
              <w:ind w:firstLine="0" w:firstLineChars="0"/>
              <w:jc w:val="center"/>
              <w:rPr>
                <w:rFonts w:asciiTheme="minorEastAsia" w:hAnsiTheme="minorEastAsia" w:eastAsiaTheme="minorEastAsia"/>
                <w:sz w:val="18"/>
                <w:szCs w:val="18"/>
              </w:rPr>
            </w:pPr>
          </w:p>
        </w:tc>
        <w:tc>
          <w:tcPr>
            <w:tcW w:w="1293" w:type="dxa"/>
            <w:vAlign w:val="center"/>
          </w:tcPr>
          <w:p>
            <w:pPr>
              <w:pStyle w:val="8"/>
              <w:ind w:firstLine="0" w:firstLineChars="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陶瓷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90" w:type="dxa"/>
            <w:vMerge w:val="continue"/>
            <w:vAlign w:val="center"/>
          </w:tcPr>
          <w:p>
            <w:pPr>
              <w:pStyle w:val="8"/>
              <w:ind w:firstLine="0" w:firstLineChars="0"/>
              <w:jc w:val="center"/>
              <w:rPr>
                <w:rFonts w:asciiTheme="minorEastAsia" w:hAnsiTheme="minorEastAsia" w:eastAsiaTheme="minorEastAsia"/>
                <w:sz w:val="18"/>
                <w:szCs w:val="18"/>
              </w:rPr>
            </w:pPr>
          </w:p>
        </w:tc>
        <w:tc>
          <w:tcPr>
            <w:tcW w:w="1100" w:type="dxa"/>
            <w:vMerge w:val="continue"/>
            <w:vAlign w:val="center"/>
          </w:tcPr>
          <w:p>
            <w:pPr>
              <w:pStyle w:val="8"/>
              <w:ind w:firstLine="0" w:firstLineChars="0"/>
              <w:jc w:val="center"/>
              <w:rPr>
                <w:rFonts w:asciiTheme="minorEastAsia" w:hAnsiTheme="minorEastAsia" w:eastAsiaTheme="minorEastAsia"/>
                <w:sz w:val="18"/>
                <w:szCs w:val="18"/>
              </w:rPr>
            </w:pPr>
          </w:p>
        </w:tc>
        <w:tc>
          <w:tcPr>
            <w:tcW w:w="1101" w:type="dxa"/>
            <w:vMerge w:val="restart"/>
            <w:vAlign w:val="center"/>
          </w:tcPr>
          <w:p>
            <w:pPr>
              <w:pStyle w:val="8"/>
              <w:ind w:firstLine="0" w:firstLineChars="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单壳体</w:t>
            </w:r>
          </w:p>
        </w:tc>
        <w:tc>
          <w:tcPr>
            <w:tcW w:w="1293" w:type="dxa"/>
            <w:vAlign w:val="center"/>
          </w:tcPr>
          <w:p>
            <w:pPr>
              <w:pStyle w:val="8"/>
              <w:ind w:firstLine="0" w:firstLineChars="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金属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90" w:type="dxa"/>
            <w:vMerge w:val="continue"/>
            <w:vAlign w:val="center"/>
          </w:tcPr>
          <w:p>
            <w:pPr>
              <w:pStyle w:val="8"/>
              <w:ind w:firstLine="0" w:firstLineChars="0"/>
              <w:jc w:val="center"/>
              <w:rPr>
                <w:rFonts w:asciiTheme="minorEastAsia" w:hAnsiTheme="minorEastAsia" w:eastAsiaTheme="minorEastAsia"/>
                <w:sz w:val="18"/>
                <w:szCs w:val="18"/>
              </w:rPr>
            </w:pPr>
          </w:p>
        </w:tc>
        <w:tc>
          <w:tcPr>
            <w:tcW w:w="1100" w:type="dxa"/>
            <w:vMerge w:val="continue"/>
            <w:vAlign w:val="center"/>
          </w:tcPr>
          <w:p>
            <w:pPr>
              <w:pStyle w:val="8"/>
              <w:ind w:firstLine="0" w:firstLineChars="0"/>
              <w:jc w:val="center"/>
              <w:rPr>
                <w:rFonts w:asciiTheme="minorEastAsia" w:hAnsiTheme="minorEastAsia" w:eastAsiaTheme="minorEastAsia"/>
                <w:sz w:val="18"/>
                <w:szCs w:val="18"/>
              </w:rPr>
            </w:pPr>
          </w:p>
        </w:tc>
        <w:tc>
          <w:tcPr>
            <w:tcW w:w="1101" w:type="dxa"/>
            <w:vMerge w:val="continue"/>
            <w:vAlign w:val="center"/>
          </w:tcPr>
          <w:p>
            <w:pPr>
              <w:pStyle w:val="8"/>
              <w:ind w:firstLine="0" w:firstLineChars="0"/>
              <w:jc w:val="center"/>
              <w:rPr>
                <w:rFonts w:asciiTheme="minorEastAsia" w:hAnsiTheme="minorEastAsia" w:eastAsiaTheme="minorEastAsia"/>
                <w:sz w:val="18"/>
                <w:szCs w:val="18"/>
              </w:rPr>
            </w:pPr>
          </w:p>
        </w:tc>
        <w:tc>
          <w:tcPr>
            <w:tcW w:w="1293" w:type="dxa"/>
            <w:vAlign w:val="center"/>
          </w:tcPr>
          <w:p>
            <w:pPr>
              <w:pStyle w:val="8"/>
              <w:ind w:firstLine="0" w:firstLineChars="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陶瓷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7" w:hRule="atLeast"/>
          <w:jc w:val="center"/>
        </w:trPr>
        <w:tc>
          <w:tcPr>
            <w:tcW w:w="790" w:type="dxa"/>
            <w:vMerge w:val="continue"/>
            <w:vAlign w:val="center"/>
          </w:tcPr>
          <w:p>
            <w:pPr>
              <w:pStyle w:val="8"/>
              <w:ind w:firstLine="0" w:firstLineChars="0"/>
              <w:jc w:val="center"/>
              <w:rPr>
                <w:rFonts w:asciiTheme="minorEastAsia" w:hAnsiTheme="minorEastAsia" w:eastAsiaTheme="minorEastAsia"/>
                <w:sz w:val="18"/>
                <w:szCs w:val="18"/>
              </w:rPr>
            </w:pPr>
          </w:p>
        </w:tc>
        <w:tc>
          <w:tcPr>
            <w:tcW w:w="1100" w:type="dxa"/>
            <w:vMerge w:val="restart"/>
            <w:vAlign w:val="center"/>
          </w:tcPr>
          <w:p>
            <w:pPr>
              <w:pStyle w:val="8"/>
              <w:ind w:firstLine="0" w:firstLineChars="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立式</w:t>
            </w:r>
          </w:p>
        </w:tc>
        <w:tc>
          <w:tcPr>
            <w:tcW w:w="1101" w:type="dxa"/>
            <w:vAlign w:val="center"/>
          </w:tcPr>
          <w:p>
            <w:pPr>
              <w:pStyle w:val="8"/>
              <w:ind w:firstLine="0" w:firstLineChars="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单壳体</w:t>
            </w:r>
          </w:p>
        </w:tc>
        <w:tc>
          <w:tcPr>
            <w:tcW w:w="1293" w:type="dxa"/>
            <w:vAlign w:val="center"/>
          </w:tcPr>
          <w:p>
            <w:pPr>
              <w:pStyle w:val="8"/>
              <w:ind w:firstLine="0" w:firstLineChars="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金属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90" w:type="dxa"/>
            <w:vMerge w:val="continue"/>
            <w:vAlign w:val="center"/>
          </w:tcPr>
          <w:p>
            <w:pPr>
              <w:pStyle w:val="8"/>
              <w:ind w:firstLine="0" w:firstLineChars="0"/>
              <w:jc w:val="center"/>
              <w:rPr>
                <w:rFonts w:asciiTheme="minorEastAsia" w:hAnsiTheme="minorEastAsia" w:eastAsiaTheme="minorEastAsia"/>
                <w:sz w:val="18"/>
                <w:szCs w:val="18"/>
              </w:rPr>
            </w:pPr>
          </w:p>
        </w:tc>
        <w:tc>
          <w:tcPr>
            <w:tcW w:w="1100" w:type="dxa"/>
            <w:vMerge w:val="continue"/>
            <w:vAlign w:val="center"/>
          </w:tcPr>
          <w:p>
            <w:pPr>
              <w:pStyle w:val="8"/>
              <w:ind w:firstLine="0" w:firstLineChars="0"/>
              <w:jc w:val="center"/>
              <w:rPr>
                <w:rFonts w:asciiTheme="minorEastAsia" w:hAnsiTheme="minorEastAsia" w:eastAsiaTheme="minorEastAsia"/>
                <w:sz w:val="18"/>
                <w:szCs w:val="18"/>
              </w:rPr>
            </w:pPr>
          </w:p>
        </w:tc>
        <w:tc>
          <w:tcPr>
            <w:tcW w:w="1101" w:type="dxa"/>
            <w:vMerge w:val="restart"/>
            <w:vAlign w:val="center"/>
          </w:tcPr>
          <w:p>
            <w:pPr>
              <w:pStyle w:val="8"/>
              <w:ind w:firstLine="0" w:firstLineChars="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双壳体</w:t>
            </w:r>
          </w:p>
        </w:tc>
        <w:tc>
          <w:tcPr>
            <w:tcW w:w="1293" w:type="dxa"/>
            <w:vAlign w:val="center"/>
          </w:tcPr>
          <w:p>
            <w:pPr>
              <w:pStyle w:val="8"/>
              <w:ind w:firstLine="0" w:firstLineChars="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陶瓷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90" w:type="dxa"/>
            <w:vMerge w:val="continue"/>
            <w:vAlign w:val="center"/>
          </w:tcPr>
          <w:p>
            <w:pPr>
              <w:pStyle w:val="8"/>
              <w:ind w:firstLine="0" w:firstLineChars="0"/>
              <w:jc w:val="center"/>
              <w:rPr>
                <w:rFonts w:asciiTheme="minorEastAsia" w:hAnsiTheme="minorEastAsia" w:eastAsiaTheme="minorEastAsia"/>
                <w:sz w:val="18"/>
                <w:szCs w:val="18"/>
              </w:rPr>
            </w:pPr>
          </w:p>
        </w:tc>
        <w:tc>
          <w:tcPr>
            <w:tcW w:w="1100" w:type="dxa"/>
            <w:vMerge w:val="continue"/>
            <w:vAlign w:val="center"/>
          </w:tcPr>
          <w:p>
            <w:pPr>
              <w:pStyle w:val="8"/>
              <w:ind w:firstLine="0" w:firstLineChars="0"/>
              <w:jc w:val="center"/>
              <w:rPr>
                <w:rFonts w:asciiTheme="minorEastAsia" w:hAnsiTheme="minorEastAsia" w:eastAsiaTheme="minorEastAsia"/>
                <w:sz w:val="18"/>
                <w:szCs w:val="18"/>
              </w:rPr>
            </w:pPr>
          </w:p>
        </w:tc>
        <w:tc>
          <w:tcPr>
            <w:tcW w:w="1101" w:type="dxa"/>
            <w:vMerge w:val="continue"/>
            <w:vAlign w:val="center"/>
          </w:tcPr>
          <w:p>
            <w:pPr>
              <w:pStyle w:val="8"/>
              <w:ind w:firstLine="0" w:firstLineChars="0"/>
              <w:jc w:val="center"/>
              <w:rPr>
                <w:rFonts w:asciiTheme="minorEastAsia" w:hAnsiTheme="minorEastAsia" w:eastAsiaTheme="minorEastAsia"/>
                <w:sz w:val="18"/>
                <w:szCs w:val="18"/>
              </w:rPr>
            </w:pPr>
          </w:p>
        </w:tc>
        <w:tc>
          <w:tcPr>
            <w:tcW w:w="1293" w:type="dxa"/>
            <w:vAlign w:val="center"/>
          </w:tcPr>
          <w:p>
            <w:pPr>
              <w:pStyle w:val="8"/>
              <w:ind w:firstLine="0" w:firstLineChars="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弹性体</w:t>
            </w:r>
          </w:p>
        </w:tc>
      </w:tr>
    </w:tbl>
    <w:p>
      <w:pPr>
        <w:spacing w:beforeLines="100" w:afterLines="100" w:line="360" w:lineRule="auto"/>
        <w:ind w:firstLine="482" w:firstLineChars="200"/>
        <w:rPr>
          <w:rFonts w:asciiTheme="minorEastAsia" w:hAnsiTheme="minorEastAsia"/>
          <w:b/>
          <w:sz w:val="24"/>
          <w:szCs w:val="24"/>
        </w:rPr>
      </w:pPr>
      <w:r>
        <w:rPr>
          <w:rFonts w:hint="eastAsia" w:asciiTheme="minorEastAsia" w:hAnsiTheme="minorEastAsia"/>
          <w:b/>
          <w:sz w:val="24"/>
          <w:szCs w:val="24"/>
        </w:rPr>
        <w:t>2.标准所参考的主要离心式渣浆泵产品清单</w:t>
      </w:r>
    </w:p>
    <w:tbl>
      <w:tblPr>
        <w:tblStyle w:val="4"/>
        <w:tblW w:w="81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4"/>
        <w:gridCol w:w="1552"/>
        <w:gridCol w:w="1213"/>
        <w:gridCol w:w="579"/>
        <w:gridCol w:w="709"/>
        <w:gridCol w:w="758"/>
        <w:gridCol w:w="795"/>
        <w:gridCol w:w="945"/>
        <w:gridCol w:w="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3" w:hRule="atLeast"/>
          <w:jc w:val="center"/>
        </w:trPr>
        <w:tc>
          <w:tcPr>
            <w:tcW w:w="694" w:type="dxa"/>
            <w:vAlign w:val="center"/>
          </w:tcPr>
          <w:p>
            <w:pPr>
              <w:pStyle w:val="9"/>
              <w:spacing w:before="156" w:after="156"/>
              <w:ind w:firstLine="0" w:firstLineChars="0"/>
              <w:jc w:val="center"/>
            </w:pPr>
            <w:r>
              <w:rPr>
                <w:rFonts w:hint="eastAsia" w:ascii="宋体" w:hAnsi="宋体" w:cs="宋体"/>
                <w:color w:val="000000"/>
                <w:kern w:val="0"/>
                <w:sz w:val="18"/>
                <w:szCs w:val="18"/>
              </w:rPr>
              <w:t>国内主要生产单位</w:t>
            </w:r>
          </w:p>
        </w:tc>
        <w:tc>
          <w:tcPr>
            <w:tcW w:w="1552" w:type="dxa"/>
            <w:vAlign w:val="center"/>
          </w:tcPr>
          <w:p>
            <w:pPr>
              <w:pStyle w:val="9"/>
              <w:spacing w:before="156" w:after="156"/>
              <w:ind w:firstLine="0" w:firstLineChars="0"/>
              <w:jc w:val="center"/>
              <w:rPr>
                <w:sz w:val="18"/>
                <w:szCs w:val="18"/>
              </w:rPr>
            </w:pPr>
            <w:r>
              <w:rPr>
                <w:rFonts w:hint="eastAsia" w:ascii="宋体" w:hAnsi="宋体" w:cs="宋体"/>
                <w:kern w:val="0"/>
                <w:sz w:val="18"/>
                <w:szCs w:val="18"/>
              </w:rPr>
              <w:t>襄樊五二五泵业</w:t>
            </w:r>
            <w:r>
              <w:rPr>
                <w:rFonts w:hint="eastAsia" w:asciiTheme="minorEastAsia" w:hAnsiTheme="minorEastAsia" w:eastAsiaTheme="minorEastAsia"/>
                <w:sz w:val="18"/>
                <w:szCs w:val="18"/>
              </w:rPr>
              <w:t>有限公司</w:t>
            </w:r>
          </w:p>
        </w:tc>
        <w:tc>
          <w:tcPr>
            <w:tcW w:w="1213" w:type="dxa"/>
            <w:vAlign w:val="center"/>
          </w:tcPr>
          <w:p>
            <w:pPr>
              <w:pStyle w:val="9"/>
              <w:spacing w:before="156" w:after="156"/>
              <w:ind w:firstLine="0" w:firstLineChars="0"/>
              <w:jc w:val="center"/>
              <w:rPr>
                <w:sz w:val="18"/>
                <w:szCs w:val="18"/>
              </w:rPr>
            </w:pPr>
            <w:r>
              <w:rPr>
                <w:rFonts w:hint="eastAsia" w:ascii="宋体" w:hAnsi="宋体" w:cs="宋体"/>
                <w:kern w:val="0"/>
                <w:sz w:val="18"/>
                <w:szCs w:val="18"/>
              </w:rPr>
              <w:t>石家庄强大行唐泵业有限公司</w:t>
            </w:r>
          </w:p>
        </w:tc>
        <w:tc>
          <w:tcPr>
            <w:tcW w:w="579" w:type="dxa"/>
            <w:vAlign w:val="center"/>
          </w:tcPr>
          <w:p>
            <w:pPr>
              <w:pStyle w:val="9"/>
              <w:spacing w:before="156" w:after="156"/>
              <w:ind w:firstLine="0" w:firstLineChars="0"/>
              <w:jc w:val="center"/>
              <w:rPr>
                <w:sz w:val="18"/>
                <w:szCs w:val="18"/>
              </w:rPr>
            </w:pPr>
            <w:r>
              <w:rPr>
                <w:rFonts w:hint="eastAsia" w:ascii="宋体" w:hAnsi="宋体" w:cs="宋体"/>
                <w:kern w:val="0"/>
                <w:sz w:val="18"/>
                <w:szCs w:val="18"/>
              </w:rPr>
              <w:t>石家庄工业泵厂有限公司</w:t>
            </w:r>
          </w:p>
        </w:tc>
        <w:tc>
          <w:tcPr>
            <w:tcW w:w="709" w:type="dxa"/>
            <w:vAlign w:val="center"/>
          </w:tcPr>
          <w:p>
            <w:pPr>
              <w:pStyle w:val="9"/>
              <w:spacing w:before="156" w:after="156"/>
              <w:ind w:firstLine="0" w:firstLineChars="0"/>
              <w:jc w:val="center"/>
              <w:rPr>
                <w:sz w:val="18"/>
                <w:szCs w:val="18"/>
              </w:rPr>
            </w:pPr>
            <w:r>
              <w:rPr>
                <w:rFonts w:hint="eastAsia" w:ascii="宋体" w:hAnsi="宋体" w:cs="宋体"/>
                <w:kern w:val="0"/>
                <w:sz w:val="18"/>
                <w:szCs w:val="18"/>
              </w:rPr>
              <w:t>江西耐普矿机股份有限公司</w:t>
            </w:r>
          </w:p>
        </w:tc>
        <w:tc>
          <w:tcPr>
            <w:tcW w:w="758" w:type="dxa"/>
            <w:vAlign w:val="center"/>
          </w:tcPr>
          <w:p>
            <w:pPr>
              <w:pStyle w:val="9"/>
              <w:spacing w:before="156" w:after="156"/>
              <w:ind w:firstLine="0" w:firstLineChars="0"/>
              <w:jc w:val="center"/>
              <w:rPr>
                <w:sz w:val="18"/>
                <w:szCs w:val="18"/>
              </w:rPr>
            </w:pPr>
            <w:r>
              <w:rPr>
                <w:rFonts w:hint="eastAsia" w:ascii="宋体" w:hAnsi="宋体" w:cs="宋体"/>
                <w:kern w:val="0"/>
                <w:sz w:val="18"/>
                <w:szCs w:val="18"/>
              </w:rPr>
              <w:t>三联泵业股份有限公司</w:t>
            </w:r>
          </w:p>
        </w:tc>
        <w:tc>
          <w:tcPr>
            <w:tcW w:w="795" w:type="dxa"/>
            <w:vAlign w:val="center"/>
          </w:tcPr>
          <w:p>
            <w:pPr>
              <w:pStyle w:val="9"/>
              <w:spacing w:before="156" w:after="156"/>
              <w:ind w:firstLine="0" w:firstLineChars="0"/>
              <w:jc w:val="center"/>
              <w:rPr>
                <w:sz w:val="18"/>
                <w:szCs w:val="18"/>
              </w:rPr>
            </w:pPr>
            <w:r>
              <w:rPr>
                <w:rFonts w:hint="eastAsia"/>
                <w:sz w:val="18"/>
                <w:szCs w:val="18"/>
              </w:rPr>
              <w:t>襄阳五二五化工机械有限公司</w:t>
            </w:r>
          </w:p>
        </w:tc>
        <w:tc>
          <w:tcPr>
            <w:tcW w:w="945" w:type="dxa"/>
            <w:vAlign w:val="center"/>
          </w:tcPr>
          <w:p>
            <w:pPr>
              <w:pStyle w:val="9"/>
              <w:spacing w:before="156" w:after="156"/>
              <w:ind w:firstLine="0" w:firstLineChars="0"/>
              <w:jc w:val="center"/>
              <w:rPr>
                <w:rFonts w:ascii="宋体" w:hAnsi="宋体" w:cs="宋体"/>
                <w:kern w:val="0"/>
                <w:sz w:val="18"/>
                <w:szCs w:val="18"/>
              </w:rPr>
            </w:pPr>
            <w:r>
              <w:rPr>
                <w:rFonts w:hint="eastAsia" w:ascii="宋体" w:hAnsi="宋体" w:cs="宋体"/>
                <w:kern w:val="0"/>
                <w:sz w:val="18"/>
                <w:szCs w:val="18"/>
              </w:rPr>
              <w:t>汉江弘源襄阳碳化硅特种陶瓷有限责任公司</w:t>
            </w:r>
          </w:p>
        </w:tc>
        <w:tc>
          <w:tcPr>
            <w:tcW w:w="945" w:type="dxa"/>
            <w:vAlign w:val="center"/>
          </w:tcPr>
          <w:p>
            <w:pPr>
              <w:pStyle w:val="9"/>
              <w:spacing w:before="156" w:after="156"/>
              <w:ind w:firstLine="0" w:firstLineChars="0"/>
              <w:jc w:val="center"/>
              <w:rPr>
                <w:rFonts w:ascii="宋体" w:hAnsi="宋体" w:cs="宋体"/>
                <w:kern w:val="0"/>
                <w:sz w:val="18"/>
                <w:szCs w:val="18"/>
              </w:rPr>
            </w:pPr>
            <w:r>
              <w:rPr>
                <w:rFonts w:hint="eastAsia" w:ascii="宋体" w:hAnsi="宋体" w:cs="宋体"/>
                <w:kern w:val="0"/>
                <w:sz w:val="18"/>
                <w:szCs w:val="18"/>
              </w:rPr>
              <w:t>四川省自贡工业泵有限责任公司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0" w:hRule="atLeast"/>
          <w:jc w:val="center"/>
        </w:trPr>
        <w:tc>
          <w:tcPr>
            <w:tcW w:w="694" w:type="dxa"/>
            <w:vAlign w:val="center"/>
          </w:tcPr>
          <w:p>
            <w:pPr>
              <w:pStyle w:val="9"/>
              <w:spacing w:before="156" w:after="156"/>
              <w:ind w:firstLine="0" w:firstLineChars="0"/>
              <w:jc w:val="center"/>
            </w:pPr>
            <w:r>
              <w:rPr>
                <w:rFonts w:hint="eastAsia" w:ascii="宋体" w:hAnsi="宋体" w:cs="宋体"/>
                <w:color w:val="000000"/>
                <w:kern w:val="0"/>
                <w:sz w:val="18"/>
                <w:szCs w:val="18"/>
              </w:rPr>
              <w:t>渣浆泵系列</w:t>
            </w:r>
          </w:p>
        </w:tc>
        <w:tc>
          <w:tcPr>
            <w:tcW w:w="1552" w:type="dxa"/>
            <w:vAlign w:val="center"/>
          </w:tcPr>
          <w:p>
            <w:pPr>
              <w:pStyle w:val="9"/>
              <w:spacing w:before="156" w:after="156"/>
              <w:ind w:firstLine="0" w:firstLineChars="0"/>
              <w:jc w:val="center"/>
              <w:rPr>
                <w:sz w:val="18"/>
                <w:szCs w:val="18"/>
              </w:rPr>
            </w:pPr>
            <w:r>
              <w:rPr>
                <w:rFonts w:hint="eastAsia"/>
                <w:sz w:val="18"/>
                <w:szCs w:val="18"/>
              </w:rPr>
              <w:t>LH、ZGG、ZGF、MH、ZGC、ZGCL</w:t>
            </w:r>
          </w:p>
          <w:p>
            <w:pPr>
              <w:pStyle w:val="9"/>
              <w:spacing w:before="156" w:after="156"/>
              <w:ind w:firstLine="0" w:firstLineChars="0"/>
              <w:jc w:val="center"/>
              <w:rPr>
                <w:sz w:val="18"/>
                <w:szCs w:val="18"/>
              </w:rPr>
            </w:pPr>
            <w:r>
              <w:rPr>
                <w:rFonts w:hint="eastAsia"/>
                <w:sz w:val="18"/>
                <w:szCs w:val="18"/>
              </w:rPr>
              <w:t>LC-TC、LC</w:t>
            </w:r>
          </w:p>
          <w:p>
            <w:pPr>
              <w:pStyle w:val="9"/>
              <w:spacing w:before="156" w:after="156"/>
              <w:ind w:firstLine="0" w:firstLineChars="0"/>
              <w:jc w:val="center"/>
            </w:pPr>
            <w:r>
              <w:rPr>
                <w:rFonts w:hint="eastAsia"/>
                <w:sz w:val="18"/>
                <w:szCs w:val="18"/>
              </w:rPr>
              <w:t>PLC、ZGCL</w:t>
            </w:r>
          </w:p>
        </w:tc>
        <w:tc>
          <w:tcPr>
            <w:tcW w:w="1213" w:type="dxa"/>
            <w:vAlign w:val="center"/>
          </w:tcPr>
          <w:p>
            <w:pPr>
              <w:pStyle w:val="9"/>
              <w:spacing w:before="156" w:after="156"/>
              <w:ind w:firstLine="0" w:firstLineChars="0"/>
              <w:jc w:val="center"/>
            </w:pPr>
            <w:r>
              <w:rPr>
                <w:rFonts w:hint="eastAsia"/>
              </w:rPr>
              <w:t>KSH 、KSL</w:t>
            </w:r>
          </w:p>
          <w:p>
            <w:pPr>
              <w:pStyle w:val="9"/>
              <w:spacing w:before="156" w:after="156"/>
              <w:ind w:firstLine="0" w:firstLineChars="0"/>
              <w:jc w:val="center"/>
            </w:pPr>
            <w:r>
              <w:rPr>
                <w:rFonts w:hint="eastAsia"/>
              </w:rPr>
              <w:t>KSG、ZGB</w:t>
            </w:r>
          </w:p>
          <w:p>
            <w:pPr>
              <w:pStyle w:val="9"/>
              <w:spacing w:before="156" w:after="156"/>
              <w:ind w:firstLine="0" w:firstLineChars="0"/>
              <w:jc w:val="center"/>
            </w:pPr>
            <w:r>
              <w:rPr>
                <w:rFonts w:hint="eastAsia"/>
              </w:rPr>
              <w:t>KSS、KSF</w:t>
            </w:r>
          </w:p>
        </w:tc>
        <w:tc>
          <w:tcPr>
            <w:tcW w:w="579" w:type="dxa"/>
            <w:vAlign w:val="center"/>
          </w:tcPr>
          <w:p>
            <w:pPr>
              <w:pStyle w:val="9"/>
              <w:spacing w:before="156" w:after="156"/>
              <w:ind w:firstLine="0" w:firstLineChars="0"/>
              <w:jc w:val="center"/>
              <w:rPr>
                <w:szCs w:val="21"/>
              </w:rPr>
            </w:pPr>
            <w:r>
              <w:rPr>
                <w:rFonts w:hint="eastAsia"/>
                <w:szCs w:val="21"/>
              </w:rPr>
              <w:t>ZJ</w:t>
            </w:r>
          </w:p>
          <w:p>
            <w:pPr>
              <w:pStyle w:val="9"/>
              <w:spacing w:before="156" w:after="156"/>
              <w:ind w:firstLine="0" w:firstLineChars="0"/>
              <w:jc w:val="center"/>
              <w:rPr>
                <w:szCs w:val="21"/>
              </w:rPr>
            </w:pPr>
            <w:r>
              <w:rPr>
                <w:rFonts w:hint="eastAsia"/>
                <w:szCs w:val="21"/>
              </w:rPr>
              <w:t>ZJL</w:t>
            </w:r>
          </w:p>
          <w:p>
            <w:pPr>
              <w:pStyle w:val="9"/>
              <w:spacing w:before="156" w:after="156"/>
              <w:ind w:firstLine="0" w:firstLineChars="0"/>
              <w:jc w:val="center"/>
            </w:pPr>
            <w:r>
              <w:rPr>
                <w:rFonts w:hint="eastAsia"/>
                <w:szCs w:val="21"/>
              </w:rPr>
              <w:t>D</w:t>
            </w:r>
          </w:p>
        </w:tc>
        <w:tc>
          <w:tcPr>
            <w:tcW w:w="709" w:type="dxa"/>
            <w:vAlign w:val="center"/>
          </w:tcPr>
          <w:p>
            <w:pPr>
              <w:pStyle w:val="9"/>
              <w:spacing w:before="156" w:after="156"/>
              <w:ind w:firstLine="0" w:firstLineChars="0"/>
              <w:jc w:val="center"/>
              <w:rPr>
                <w:szCs w:val="21"/>
              </w:rPr>
            </w:pPr>
            <w:r>
              <w:rPr>
                <w:rFonts w:hint="eastAsia"/>
                <w:szCs w:val="21"/>
              </w:rPr>
              <w:t>NZJM</w:t>
            </w:r>
          </w:p>
          <w:p>
            <w:pPr>
              <w:pStyle w:val="9"/>
              <w:spacing w:before="156" w:after="156"/>
              <w:ind w:firstLine="0" w:firstLineChars="0"/>
              <w:jc w:val="center"/>
              <w:rPr>
                <w:szCs w:val="21"/>
              </w:rPr>
            </w:pPr>
            <w:r>
              <w:rPr>
                <w:rFonts w:hint="eastAsia"/>
                <w:szCs w:val="21"/>
              </w:rPr>
              <w:t>NZJF</w:t>
            </w:r>
          </w:p>
          <w:p>
            <w:pPr>
              <w:pStyle w:val="9"/>
              <w:spacing w:before="156" w:after="156"/>
              <w:ind w:firstLine="0" w:firstLineChars="0"/>
              <w:jc w:val="center"/>
            </w:pPr>
            <w:r>
              <w:rPr>
                <w:rFonts w:hint="eastAsia"/>
                <w:szCs w:val="21"/>
              </w:rPr>
              <w:t>NZJV</w:t>
            </w:r>
          </w:p>
        </w:tc>
        <w:tc>
          <w:tcPr>
            <w:tcW w:w="758" w:type="dxa"/>
            <w:vAlign w:val="center"/>
          </w:tcPr>
          <w:p>
            <w:pPr>
              <w:pStyle w:val="9"/>
              <w:spacing w:before="156" w:after="156"/>
              <w:ind w:firstLine="0" w:firstLineChars="0"/>
              <w:jc w:val="center"/>
            </w:pPr>
            <w:r>
              <w:rPr>
                <w:rFonts w:hint="eastAsia"/>
              </w:rPr>
              <w:t>ZS</w:t>
            </w:r>
          </w:p>
        </w:tc>
        <w:tc>
          <w:tcPr>
            <w:tcW w:w="795" w:type="dxa"/>
            <w:vAlign w:val="center"/>
          </w:tcPr>
          <w:p>
            <w:pPr>
              <w:pStyle w:val="9"/>
              <w:spacing w:before="156" w:after="156"/>
              <w:ind w:firstLine="0" w:firstLineChars="0"/>
              <w:jc w:val="center"/>
            </w:pPr>
            <w:r>
              <w:rPr>
                <w:rFonts w:hint="eastAsia"/>
              </w:rPr>
              <w:t>LCB</w:t>
            </w:r>
          </w:p>
        </w:tc>
        <w:tc>
          <w:tcPr>
            <w:tcW w:w="945" w:type="dxa"/>
            <w:vAlign w:val="center"/>
          </w:tcPr>
          <w:p>
            <w:pPr>
              <w:pStyle w:val="9"/>
              <w:spacing w:before="156" w:after="156"/>
              <w:ind w:firstLine="0" w:firstLineChars="0"/>
              <w:jc w:val="center"/>
            </w:pPr>
            <w:r>
              <w:rPr>
                <w:rFonts w:hint="eastAsia"/>
              </w:rPr>
              <w:t>HAH</w:t>
            </w:r>
          </w:p>
          <w:p>
            <w:pPr>
              <w:pStyle w:val="9"/>
              <w:spacing w:before="156" w:after="156"/>
              <w:ind w:firstLine="0" w:firstLineChars="0"/>
              <w:jc w:val="center"/>
            </w:pPr>
            <w:r>
              <w:rPr>
                <w:rFonts w:hint="eastAsia"/>
              </w:rPr>
              <w:t>ZVT</w:t>
            </w:r>
          </w:p>
          <w:p>
            <w:pPr>
              <w:pStyle w:val="9"/>
              <w:spacing w:before="156" w:after="156"/>
              <w:ind w:firstLine="0" w:firstLineChars="0"/>
              <w:jc w:val="center"/>
            </w:pPr>
            <w:r>
              <w:rPr>
                <w:rFonts w:hint="eastAsia"/>
              </w:rPr>
              <w:t>LVT</w:t>
            </w:r>
          </w:p>
          <w:p>
            <w:pPr>
              <w:pStyle w:val="9"/>
              <w:spacing w:before="156" w:after="156"/>
              <w:ind w:firstLine="0" w:firstLineChars="0"/>
              <w:jc w:val="center"/>
            </w:pPr>
            <w:r>
              <w:rPr>
                <w:rFonts w:hint="eastAsia"/>
              </w:rPr>
              <w:t>HL</w:t>
            </w:r>
          </w:p>
        </w:tc>
        <w:tc>
          <w:tcPr>
            <w:tcW w:w="945" w:type="dxa"/>
            <w:vAlign w:val="center"/>
          </w:tcPr>
          <w:p>
            <w:pPr>
              <w:pStyle w:val="9"/>
              <w:spacing w:before="156" w:after="156"/>
              <w:ind w:firstLine="0" w:firstLineChars="0"/>
              <w:jc w:val="center"/>
              <w:rPr>
                <w:szCs w:val="21"/>
              </w:rPr>
            </w:pPr>
            <w:r>
              <w:rPr>
                <w:rFonts w:hint="eastAsia"/>
                <w:szCs w:val="21"/>
              </w:rPr>
              <w:t>ZZ</w:t>
            </w:r>
          </w:p>
        </w:tc>
      </w:tr>
    </w:tbl>
    <w:p>
      <w:pPr>
        <w:spacing w:beforeLines="100" w:line="360" w:lineRule="auto"/>
        <w:ind w:firstLine="482" w:firstLineChars="200"/>
        <w:rPr>
          <w:rFonts w:asciiTheme="minorEastAsia" w:hAnsiTheme="minorEastAsia"/>
          <w:b/>
          <w:sz w:val="24"/>
          <w:szCs w:val="24"/>
        </w:rPr>
      </w:pPr>
      <w:r>
        <w:rPr>
          <w:rFonts w:hint="eastAsia" w:asciiTheme="minorEastAsia" w:hAnsiTheme="minorEastAsia"/>
          <w:b/>
          <w:sz w:val="24"/>
          <w:szCs w:val="24"/>
        </w:rPr>
        <w:t>3.标准拟采取的数据处理方式</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充分收集各种渣浆泵相关数据，进行分析、审核，对有些实验推导的数据进行实验模拟。其中对于浆体类型的划分，磨蚀作业等级的划分，管道摩擦损失计算、沉降速度计算、扬程和效率的校核等参考于美国ANSI/HI12.1-12.6标准及沃曼公司相关资料，这些数据、图表及计算方法均来源于较为权威的机构发布的资料，且经过实际检验，具有较高的公信力，因此经过审核分析后采纳。对于泵的能效、汽蚀比转速、轴承使用寿命、材料的磨损系数的相关数据，第一是对于来源于采用各厂家提供的相关数据，通过散点图分析，掌握参数分布范围和分布形态，并结合当前的制造水平及未来发展趋势，给出一个合理的值，例如汽蚀比转速。第二对于可以通过解析式进行计算，都进行了核算，同时也参考国内外相关标准，综合考虑后给出合理的值，例如轴承寿命。第三是通过现场应用或实验得到的数据，都进行相关的实验模拟，核算无误后进行采纳，例如材料磨损系数。</w:t>
      </w:r>
    </w:p>
    <w:p>
      <w:pPr>
        <w:spacing w:line="360" w:lineRule="auto"/>
        <w:ind w:firstLine="482" w:firstLineChars="200"/>
        <w:rPr>
          <w:rFonts w:asciiTheme="minorEastAsia" w:hAnsiTheme="minorEastAsia"/>
          <w:b/>
          <w:sz w:val="24"/>
          <w:szCs w:val="24"/>
        </w:rPr>
      </w:pPr>
      <w:r>
        <w:rPr>
          <w:rFonts w:hint="eastAsia" w:asciiTheme="minorEastAsia" w:hAnsiTheme="minorEastAsia"/>
          <w:b/>
          <w:sz w:val="24"/>
          <w:szCs w:val="24"/>
        </w:rPr>
        <w:t>四、标准中如果涉及专利，应有明确的知识产权说明</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本标准不涉及专利问题。</w:t>
      </w:r>
    </w:p>
    <w:p>
      <w:pPr>
        <w:spacing w:line="360" w:lineRule="auto"/>
        <w:ind w:firstLine="482" w:firstLineChars="200"/>
        <w:rPr>
          <w:rFonts w:asciiTheme="minorEastAsia" w:hAnsiTheme="minorEastAsia"/>
          <w:b/>
          <w:sz w:val="24"/>
          <w:szCs w:val="24"/>
        </w:rPr>
      </w:pPr>
      <w:r>
        <w:rPr>
          <w:rFonts w:hint="eastAsia" w:asciiTheme="minorEastAsia" w:hAnsiTheme="minorEastAsia"/>
          <w:b/>
          <w:sz w:val="24"/>
          <w:szCs w:val="24"/>
        </w:rPr>
        <w:t>五、产业化情况、推广应用论证和预期达到的经济效果等情况</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当前，我国离心式渣浆泵年产量和产值均居世界第一。同时，我国是矿资源加工和消耗大国，离心式渣浆泵的用量占全球第一。根据相关数据统计，渣浆泵市场约为每年80亿左右，且按照当前矿山、钢铁、有色冶金等行业的发展规划，以及“一带一路”的逐步深化，渣浆泵市场在未来几年仍将保持较高的发展速度。本标准的制定，将规范离心式渣浆泵的制造及应用，为引领行业的发展提供有力的技术支撑。</w:t>
      </w:r>
    </w:p>
    <w:p>
      <w:pPr>
        <w:spacing w:line="360" w:lineRule="auto"/>
        <w:ind w:firstLine="482" w:firstLineChars="200"/>
        <w:rPr>
          <w:rFonts w:asciiTheme="minorEastAsia" w:hAnsiTheme="minorEastAsia"/>
          <w:b/>
          <w:sz w:val="24"/>
          <w:szCs w:val="24"/>
        </w:rPr>
      </w:pPr>
      <w:r>
        <w:rPr>
          <w:rFonts w:hint="eastAsia" w:asciiTheme="minorEastAsia" w:hAnsiTheme="minorEastAsia"/>
          <w:b/>
          <w:sz w:val="24"/>
          <w:szCs w:val="24"/>
        </w:rPr>
        <w:t>六、采用国际标准和国外先进标准情况，与国际、国外同类标准水平的对比情况，国内外关键指标对比分析或与测试的国外样品、样机的相关数据对比情况</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当前国际标准有ANSI/HI12.1-12.6《回转动力式（离心式）渣浆泵》，国内标准有JB/T8096《离心式渣浆泵》，本标准与国际标准ANSI/HI12.1-12.6技术水平相当，属于国际先进水平。</w:t>
      </w:r>
    </w:p>
    <w:p>
      <w:pPr>
        <w:spacing w:line="360" w:lineRule="auto"/>
        <w:ind w:firstLine="482" w:firstLineChars="200"/>
        <w:rPr>
          <w:rFonts w:asciiTheme="minorEastAsia" w:hAnsiTheme="minorEastAsia"/>
          <w:b/>
          <w:sz w:val="24"/>
          <w:szCs w:val="24"/>
        </w:rPr>
      </w:pPr>
      <w:r>
        <w:rPr>
          <w:rFonts w:hint="eastAsia" w:asciiTheme="minorEastAsia" w:hAnsiTheme="minorEastAsia"/>
          <w:b/>
          <w:sz w:val="24"/>
          <w:szCs w:val="24"/>
        </w:rPr>
        <w:t>七、与现行相关法律、法规、规章及相关标准，特别是强制性标准的协调性</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本标准符合《中华人民共和国标准法》、低碳经济、国家节能减排政策，与国家节能,环保，和技术经济政策相一致，以保证能效标准的先进、科学、合理、可操作。标准按照GB/T1.1-2020《标准化工作导则 第1部分：标准的结构和编写》规定编写。</w:t>
      </w:r>
    </w:p>
    <w:p>
      <w:pPr>
        <w:spacing w:line="360" w:lineRule="auto"/>
        <w:ind w:firstLine="482" w:firstLineChars="200"/>
        <w:rPr>
          <w:rFonts w:asciiTheme="minorEastAsia" w:hAnsiTheme="minorEastAsia"/>
          <w:b/>
          <w:sz w:val="24"/>
          <w:szCs w:val="24"/>
        </w:rPr>
      </w:pPr>
      <w:r>
        <w:rPr>
          <w:rFonts w:hint="eastAsia" w:asciiTheme="minorEastAsia" w:hAnsiTheme="minorEastAsia"/>
          <w:b/>
          <w:sz w:val="24"/>
          <w:szCs w:val="24"/>
        </w:rPr>
        <w:t>八、重大分歧意见的处理经过和依据</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本标准在制订过程中，没有重大分歧。</w:t>
      </w:r>
    </w:p>
    <w:p>
      <w:pPr>
        <w:spacing w:line="360" w:lineRule="auto"/>
        <w:ind w:firstLine="482" w:firstLineChars="200"/>
        <w:rPr>
          <w:rFonts w:asciiTheme="minorEastAsia" w:hAnsiTheme="minorEastAsia"/>
          <w:b/>
          <w:sz w:val="24"/>
          <w:szCs w:val="24"/>
        </w:rPr>
      </w:pPr>
      <w:r>
        <w:rPr>
          <w:rFonts w:hint="eastAsia" w:asciiTheme="minorEastAsia" w:hAnsiTheme="minorEastAsia"/>
          <w:b/>
          <w:sz w:val="24"/>
          <w:szCs w:val="24"/>
        </w:rPr>
        <w:t>九、标准性质的建议说明</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该标准作为一般的常规通用机械标准，建议为推荐性标准。</w:t>
      </w:r>
    </w:p>
    <w:p>
      <w:pPr>
        <w:spacing w:line="360" w:lineRule="auto"/>
        <w:ind w:firstLine="482" w:firstLineChars="200"/>
        <w:rPr>
          <w:rFonts w:asciiTheme="minorEastAsia" w:hAnsiTheme="minorEastAsia"/>
          <w:b/>
          <w:sz w:val="24"/>
          <w:szCs w:val="24"/>
        </w:rPr>
      </w:pPr>
      <w:r>
        <w:rPr>
          <w:rFonts w:hint="eastAsia" w:asciiTheme="minorEastAsia" w:hAnsiTheme="minorEastAsia"/>
          <w:b/>
          <w:sz w:val="24"/>
          <w:szCs w:val="24"/>
        </w:rPr>
        <w:t>十、贯彻标准的要求和措施建议（包括组织措施、技术措施、过渡办法、实施日期等）</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本标准修订内容比较切合实际情况，不建议采用过渡措施，按正常程序实施即可。</w:t>
      </w:r>
    </w:p>
    <w:p>
      <w:pPr>
        <w:spacing w:line="360" w:lineRule="auto"/>
        <w:ind w:firstLine="482" w:firstLineChars="200"/>
        <w:rPr>
          <w:rFonts w:asciiTheme="minorEastAsia" w:hAnsiTheme="minorEastAsia"/>
          <w:b/>
          <w:sz w:val="24"/>
          <w:szCs w:val="24"/>
        </w:rPr>
      </w:pPr>
      <w:r>
        <w:rPr>
          <w:rFonts w:hint="eastAsia" w:asciiTheme="minorEastAsia" w:hAnsiTheme="minorEastAsia"/>
          <w:b/>
          <w:sz w:val="24"/>
          <w:szCs w:val="24"/>
        </w:rPr>
        <w:t>十一、废止现行相关标准的建议</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没有建议废止的相关标准。</w:t>
      </w:r>
    </w:p>
    <w:p>
      <w:pPr>
        <w:spacing w:line="360" w:lineRule="auto"/>
        <w:ind w:firstLine="482" w:firstLineChars="200"/>
        <w:rPr>
          <w:rFonts w:asciiTheme="minorEastAsia" w:hAnsiTheme="minorEastAsia"/>
          <w:b/>
          <w:sz w:val="24"/>
          <w:szCs w:val="24"/>
        </w:rPr>
      </w:pPr>
      <w:r>
        <w:rPr>
          <w:rFonts w:hint="eastAsia" w:asciiTheme="minorEastAsia" w:hAnsiTheme="minorEastAsia"/>
          <w:b/>
          <w:sz w:val="24"/>
          <w:szCs w:val="24"/>
        </w:rPr>
        <w:t>十二、其他应予说明的事项</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无</w:t>
      </w:r>
    </w:p>
    <w:p>
      <w:pPr>
        <w:spacing w:line="360" w:lineRule="auto"/>
        <w:ind w:firstLine="480" w:firstLineChars="200"/>
        <w:rPr>
          <w:rFonts w:asciiTheme="minorEastAsia" w:hAnsiTheme="minorEastAsia"/>
          <w:sz w:val="24"/>
          <w:szCs w:val="24"/>
        </w:rPr>
      </w:pPr>
    </w:p>
    <w:sectPr>
      <w:pgSz w:w="11906" w:h="16838"/>
      <w:pgMar w:top="1418" w:right="1701" w:bottom="1418"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jQ2ZmY0ZjIxYzk1NTAzODliNGZjYzY1M2I0NDE5ZTAifQ=="/>
  </w:docVars>
  <w:rsids>
    <w:rsidRoot w:val="000F2FA5"/>
    <w:rsid w:val="00023A7E"/>
    <w:rsid w:val="000D0ED3"/>
    <w:rsid w:val="000D325B"/>
    <w:rsid w:val="000D7B50"/>
    <w:rsid w:val="000F2FA5"/>
    <w:rsid w:val="00182ECF"/>
    <w:rsid w:val="0023624E"/>
    <w:rsid w:val="0028622D"/>
    <w:rsid w:val="003F487E"/>
    <w:rsid w:val="00405655"/>
    <w:rsid w:val="00443AD0"/>
    <w:rsid w:val="00513A54"/>
    <w:rsid w:val="005449F3"/>
    <w:rsid w:val="00550612"/>
    <w:rsid w:val="0055574D"/>
    <w:rsid w:val="005C2A38"/>
    <w:rsid w:val="005E1D1F"/>
    <w:rsid w:val="00603238"/>
    <w:rsid w:val="00627ED1"/>
    <w:rsid w:val="006E1CDB"/>
    <w:rsid w:val="007670C5"/>
    <w:rsid w:val="007C324E"/>
    <w:rsid w:val="00980AF6"/>
    <w:rsid w:val="009A2554"/>
    <w:rsid w:val="00A26E85"/>
    <w:rsid w:val="00A81E42"/>
    <w:rsid w:val="00AF4A8E"/>
    <w:rsid w:val="00B41211"/>
    <w:rsid w:val="00C61E8D"/>
    <w:rsid w:val="00C87C2E"/>
    <w:rsid w:val="00D6053A"/>
    <w:rsid w:val="00D9535D"/>
    <w:rsid w:val="00DB251A"/>
    <w:rsid w:val="00E01E57"/>
    <w:rsid w:val="00E61FD0"/>
    <w:rsid w:val="00E66C37"/>
    <w:rsid w:val="00F4693B"/>
    <w:rsid w:val="00F52135"/>
    <w:rsid w:val="4AF343BC"/>
    <w:rsid w:val="7BDC67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 w:type="paragraph" w:customStyle="1" w:styleId="8">
    <w:name w:val="段"/>
    <w:qFormat/>
    <w:uiPriority w:val="0"/>
    <w:pPr>
      <w:tabs>
        <w:tab w:val="center" w:pos="4201"/>
        <w:tab w:val="right" w:leader="dot" w:pos="9298"/>
      </w:tabs>
      <w:autoSpaceDE w:val="0"/>
      <w:autoSpaceDN w:val="0"/>
      <w:ind w:firstLine="420" w:firstLineChars="200"/>
      <w:jc w:val="both"/>
    </w:pPr>
    <w:rPr>
      <w:rFonts w:ascii="宋体" w:hAnsi="Calibri" w:eastAsia="Calibri" w:cs="Times New Roman"/>
      <w:kern w:val="0"/>
      <w:sz w:val="21"/>
      <w:szCs w:val="20"/>
      <w:lang w:val="en-US" w:eastAsia="zh-CN" w:bidi="ar-SA"/>
    </w:rPr>
  </w:style>
  <w:style w:type="paragraph" w:styleId="9">
    <w:name w:val="List Paragraph"/>
    <w:basedOn w:val="1"/>
    <w:qFormat/>
    <w:uiPriority w:val="0"/>
    <w:pPr>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CD2E8-C69A-4F2B-941B-661A1E92D9BF}">
  <ds:schemaRefs/>
</ds:datastoreItem>
</file>

<file path=docProps/app.xml><?xml version="1.0" encoding="utf-8"?>
<Properties xmlns="http://schemas.openxmlformats.org/officeDocument/2006/extended-properties" xmlns:vt="http://schemas.openxmlformats.org/officeDocument/2006/docPropsVTypes">
  <Template>Normal.dotm</Template>
  <Company>http://www.windows89.com</Company>
  <Pages>4</Pages>
  <Words>2491</Words>
  <Characters>2626</Characters>
  <Lines>18</Lines>
  <Paragraphs>5</Paragraphs>
  <TotalTime>116</TotalTime>
  <ScaleCrop>false</ScaleCrop>
  <LinksUpToDate>false</LinksUpToDate>
  <CharactersWithSpaces>2628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2022-12-12T03:13:00Z</dcterms:created>
  <dc:creator>User</dc:creator>
  <cp:lastModifiedBy>Administrator</cp:lastModifiedBy>
  <dcterms:modified xsi:type="dcterms:W3CDTF">2023-02-02T00:42:29Z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84903F79F83A413B9E7541B880061595</vt:lpwstr>
  </property>
</Properties>
</file>